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58EEC6E2" w14:textId="77777777" w:rsidR="00204402" w:rsidRDefault="00204402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B50BA2B" w14:textId="77777777" w:rsidR="00204402" w:rsidRDefault="00204402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14:paraId="64BC7293" w14:textId="77777777" w:rsidR="00204402" w:rsidRDefault="00301F0D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C32E514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F9EB67C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76CB8A7C" w14:textId="1060DF30" w:rsidR="00204402" w:rsidRDefault="006A3FD5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21</w:t>
                    </w:r>
                    <w:r w:rsidR="005E2EE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520D3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novembro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798CB646" w14:textId="77777777" w:rsidR="00204402" w:rsidRDefault="00204402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07CD0D5E" w14:textId="77777777" w:rsidR="00204402" w:rsidRDefault="00000000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0B902D3" w14:textId="77777777" w:rsidR="004F5D3E" w:rsidRDefault="00301F0D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44AE3437" w14:textId="77777777" w:rsidR="004F5D3E" w:rsidRDefault="004F5D3E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14:paraId="608670DD" w14:textId="77777777" w:rsidR="00204402" w:rsidRDefault="00000000">
          <w:pPr>
            <w:rPr>
              <w:rFonts w:cstheme="minorHAnsi"/>
            </w:rPr>
          </w:pPr>
        </w:p>
      </w:sdtContent>
    </w:sdt>
    <w:bookmarkEnd w:id="0"/>
    <w:p w14:paraId="20A4C473" w14:textId="77777777" w:rsidR="00204402" w:rsidRDefault="00204402">
      <w:pPr>
        <w:rPr>
          <w:rFonts w:cstheme="minorHAnsi"/>
        </w:rPr>
      </w:pPr>
    </w:p>
    <w:p w14:paraId="6C113469" w14:textId="77777777" w:rsidR="00204402" w:rsidRDefault="00301F0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6B1488AB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0DCBF0F3" w14:textId="77777777" w:rsidR="00204402" w:rsidRDefault="00204402">
      <w:pPr>
        <w:jc w:val="center"/>
        <w:rPr>
          <w:rFonts w:cstheme="minorHAnsi"/>
          <w:sz w:val="22"/>
          <w:szCs w:val="22"/>
        </w:rPr>
      </w:pPr>
    </w:p>
    <w:p w14:paraId="63E7523F" w14:textId="77777777" w:rsidR="00204402" w:rsidRDefault="00301F0D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3C4B2F07" w14:textId="77777777" w:rsidR="00204402" w:rsidRDefault="00204402">
      <w:pPr>
        <w:rPr>
          <w:rFonts w:cstheme="minorHAnsi"/>
          <w:b/>
          <w:bCs/>
          <w:sz w:val="24"/>
          <w:szCs w:val="24"/>
        </w:rPr>
      </w:pPr>
    </w:p>
    <w:p w14:paraId="2B57E7DA" w14:textId="77777777" w:rsidR="00204402" w:rsidRDefault="00301F0D">
      <w:pPr>
        <w:pStyle w:val="Ttulo1"/>
        <w:rPr>
          <w:rFonts w:cstheme="minorHAnsi"/>
        </w:rPr>
      </w:pPr>
      <w:bookmarkStart w:id="1" w:name="_Toc157166284"/>
      <w:bookmarkStart w:id="2" w:name="_Toc157166430"/>
      <w:r>
        <w:rPr>
          <w:rFonts w:cstheme="minorHAnsi"/>
        </w:rPr>
        <w:t>Níveis de Confidencialidade</w:t>
      </w:r>
      <w:bookmarkEnd w:id="1"/>
      <w:bookmarkEnd w:id="2"/>
    </w:p>
    <w:p w14:paraId="66665489" w14:textId="77777777" w:rsidR="00204402" w:rsidRDefault="00301F0D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7EC5EA67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09BE5B1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66B8798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4E1A645D" w14:textId="77777777" w:rsidR="00204402" w:rsidRDefault="00204402">
      <w:pPr>
        <w:rPr>
          <w:rFonts w:cstheme="minorHAnsi"/>
        </w:rPr>
      </w:pPr>
    </w:p>
    <w:p w14:paraId="2952C35E" w14:textId="7C258C8E" w:rsidR="00F17AEF" w:rsidRDefault="00F17AEF">
      <w:pPr>
        <w:rPr>
          <w:rFonts w:cstheme="minorHAnsi"/>
        </w:rPr>
      </w:pPr>
    </w:p>
    <w:p w14:paraId="65893274" w14:textId="77777777" w:rsidR="00204402" w:rsidRDefault="00204402">
      <w:pPr>
        <w:rPr>
          <w:rFonts w:cstheme="minorHAnsi"/>
        </w:rPr>
      </w:pPr>
    </w:p>
    <w:p w14:paraId="5B6170D8" w14:textId="77777777" w:rsidR="00204402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14:paraId="4432ED1A" w14:textId="18EDED62" w:rsidR="00204402" w:rsidRDefault="00301F0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Alcântara,</w:t>
      </w:r>
      <w:r w:rsidR="00506BAF">
        <w:rPr>
          <w:rFonts w:cstheme="minorHAnsi"/>
        </w:rPr>
        <w:t xml:space="preserve"> </w:t>
      </w:r>
      <w:r>
        <w:rPr>
          <w:rFonts w:cstheme="minorHAnsi"/>
        </w:rPr>
        <w:t xml:space="preserve">Elika Bethânia, </w:t>
      </w:r>
      <w:proofErr w:type="spellStart"/>
      <w:r w:rsidR="006A3FD5">
        <w:rPr>
          <w:rFonts w:cstheme="minorHAnsi"/>
        </w:rPr>
        <w:t>Odeiza</w:t>
      </w:r>
      <w:proofErr w:type="spellEnd"/>
      <w:r w:rsidR="006A3FD5">
        <w:rPr>
          <w:rFonts w:cstheme="minorHAnsi"/>
        </w:rPr>
        <w:t xml:space="preserve"> Pereira</w:t>
      </w:r>
      <w:r w:rsidR="004C0104">
        <w:rPr>
          <w:rFonts w:cstheme="minorHAnsi"/>
        </w:rPr>
        <w:t>,</w:t>
      </w:r>
      <w:r w:rsidR="00520D3C">
        <w:rPr>
          <w:rFonts w:cstheme="minorHAnsi"/>
        </w:rPr>
        <w:t xml:space="preserve"> </w:t>
      </w:r>
      <w:r w:rsidR="0016354B">
        <w:rPr>
          <w:rFonts w:cstheme="minorHAnsi"/>
        </w:rPr>
        <w:t>Ivone Ribeiro</w:t>
      </w:r>
      <w:r w:rsidR="00222A93">
        <w:rPr>
          <w:rFonts w:cstheme="minorHAnsi"/>
        </w:rPr>
        <w:t>,</w:t>
      </w:r>
      <w:r w:rsidR="00520D3C">
        <w:rPr>
          <w:rFonts w:cstheme="minorHAnsi"/>
        </w:rPr>
        <w:t xml:space="preserve"> </w:t>
      </w:r>
      <w:r w:rsidR="00F17AEF">
        <w:rPr>
          <w:rFonts w:cstheme="minorHAnsi"/>
        </w:rPr>
        <w:t>Caio Ribeiro</w:t>
      </w:r>
      <w:r w:rsidR="00222A93">
        <w:rPr>
          <w:rFonts w:cstheme="minorHAnsi"/>
        </w:rPr>
        <w:t xml:space="preserve"> e Ana Cristina.</w:t>
      </w:r>
    </w:p>
    <w:p w14:paraId="0C22F2C6" w14:textId="1974C126" w:rsidR="00222A93" w:rsidRDefault="00222A93">
      <w:pPr>
        <w:jc w:val="both"/>
        <w:rPr>
          <w:rFonts w:cstheme="minorHAnsi"/>
        </w:rPr>
      </w:pPr>
      <w:r w:rsidRPr="00222A93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Inacio Melo</w:t>
      </w:r>
      <w:r w:rsidR="00520D3C">
        <w:rPr>
          <w:rFonts w:cstheme="minorHAnsi"/>
        </w:rPr>
        <w:t xml:space="preserve"> e</w:t>
      </w:r>
      <w:r w:rsidR="006A3FD5">
        <w:rPr>
          <w:rFonts w:cstheme="minorHAnsi"/>
        </w:rPr>
        <w:t xml:space="preserve"> Sidney </w:t>
      </w:r>
      <w:proofErr w:type="spellStart"/>
      <w:r w:rsidR="006A3FD5">
        <w:rPr>
          <w:rFonts w:cstheme="minorHAnsi"/>
        </w:rPr>
        <w:t>Norinho</w:t>
      </w:r>
      <w:proofErr w:type="spellEnd"/>
    </w:p>
    <w:p w14:paraId="70BEE817" w14:textId="2E14C2F7" w:rsidR="00204402" w:rsidRDefault="00301F0D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66DABEE7" w14:textId="74F6F3DE" w:rsidR="00204402" w:rsidRDefault="00520D3C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520D3C">
        <w:rPr>
          <w:rFonts w:cstheme="minorHAnsi"/>
        </w:rPr>
        <w:t>Continuação do plano de capacitação e comunicação.</w:t>
      </w:r>
    </w:p>
    <w:p w14:paraId="70DA8A31" w14:textId="5F04DA85" w:rsidR="00204402" w:rsidRDefault="00F17AEF">
      <w:pPr>
        <w:pStyle w:val="Ttulo2"/>
      </w:pPr>
      <w:r>
        <w:t>Compliance SETURN</w:t>
      </w:r>
    </w:p>
    <w:p w14:paraId="0AF477AF" w14:textId="77777777" w:rsidR="000245F1" w:rsidRDefault="000245F1" w:rsidP="000245F1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58F68EFC" w14:textId="77777777" w:rsid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>Jacilene iniciou a reunião confirmando que a reunião está sendo gravada, os participantes concordam com a gravação da reunião.</w:t>
      </w:r>
    </w:p>
    <w:p w14:paraId="71DA65E8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 xml:space="preserve">Jacilene solicitou atualizações sobre o plano de capacitação e comunicação, Elika e Ana Cristina relataram que mais cedo na reunião da LGPD que tiveram com Romênia foram esclarecidos alguns detalhes sobre os treinamentos. </w:t>
      </w:r>
    </w:p>
    <w:p w14:paraId="0E4B6B6B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>Ana Cristina apresentou os pontos debatidos pela comissão, ela falou da preferência por treinamentos online, com duração definida.</w:t>
      </w:r>
    </w:p>
    <w:p w14:paraId="75AE0B3B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>Jacilene falou da necessidade de definir equipes, temas e meses para as capacitações, explicou a importância de criar um cronograma bem estruturado, observando-se períodos de férias e licenças dos membros do Comitê e dos colaboradores.</w:t>
      </w:r>
    </w:p>
    <w:p w14:paraId="4A002EBC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>Ana Cristina e Jacilene falaram sobre o planejamento do programa de treinamento das políticas do SETURN, abordando a criação de questionários, o formato híbrido (online e presencial) das capacitações e a importância de adaptar o conteúdo para diferentes níveis de colaboradores. Elas planejam utilizar a plataforma GTI educacional em conjunto com a UNIFROTAS, definindo temas mensais e estratégias de divulgação. Elika informou que o planejamento anual dos cursos da UNIFROTAS para dois mil e vinte cinco ainda não foi confirmado pela diretoria.</w:t>
      </w:r>
    </w:p>
    <w:p w14:paraId="1FFFA4FB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>Jacilene e Elika debateram o planejamento de cursos de treinamento para todos os colaboradores do SETURN, incluindo motoristas, administrativos e manutenção. Elas abordaram a importância de adaptar o conteúdo e a avaliação de acordo com cada nível hierárquico, além de considerar a inclusão de terceiros no programa de treinamento. A implementação de políticas de LGPD e a necessidade de um plano de comunicação eficaz para engajar os colaboradores.</w:t>
      </w:r>
    </w:p>
    <w:p w14:paraId="2F3AF4FC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 xml:space="preserve">Jacilene solicitou que o comitê envie ideias, sugestões e considerações mais detalhadas para formulação do plano de capacitação/treinamentos das políticas e comunicação, enfatizando que o plano não precisa estar completo inicialmente, já que ela irá agregar detalhes e refinar o programa posteriormente. </w:t>
      </w:r>
    </w:p>
    <w:p w14:paraId="03D54210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>Jacilene solicitou que os participantes apresentassem suas dúvidas e/ou questionamentos, sobre os assuntos debatidos na reunião.</w:t>
      </w:r>
    </w:p>
    <w:p w14:paraId="27542379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lastRenderedPageBreak/>
        <w:t xml:space="preserve">Elika expressou que as orientações fornecidas por Jacilene foram esclarecedoras, e Ana Cristina mencionou que o Comitê trabalhará com base no cronograma que será criado e aprovado por todos. </w:t>
      </w:r>
    </w:p>
    <w:p w14:paraId="61E1B39E" w14:textId="7777777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 xml:space="preserve">Todos os presentes na reunião concordaram em colaborar para o desenvolvimento de um plano detalhado, considerando aspectos como duração dos treinamentos, adaptação de conteúdo para diferentes níveis hierárquicos e uso de plataformas (UNIFROTAS e GTI). </w:t>
      </w:r>
    </w:p>
    <w:p w14:paraId="2AB4AC5C" w14:textId="18E34C47" w:rsidR="006A3FD5" w:rsidRP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>Jacilene</w:t>
      </w:r>
      <w:r w:rsidR="00CB2E58">
        <w:rPr>
          <w:rFonts w:eastAsia="Times New Roman" w:cstheme="minorHAnsi"/>
          <w:spacing w:val="6"/>
          <w:lang w:eastAsia="pt-BR"/>
        </w:rPr>
        <w:t>,</w:t>
      </w:r>
      <w:r w:rsidRPr="006A3FD5">
        <w:rPr>
          <w:rFonts w:eastAsia="Times New Roman" w:cstheme="minorHAnsi"/>
          <w:spacing w:val="6"/>
          <w:lang w:eastAsia="pt-BR"/>
        </w:rPr>
        <w:t xml:space="preserve"> informou que ela e Romênia farão a estruturação do planejamento dos cursos/treinamentos, considerando as políticas de LGPD e diferentes públicos</w:t>
      </w:r>
      <w:r w:rsidR="00CB2E58">
        <w:rPr>
          <w:rFonts w:eastAsia="Times New Roman" w:cstheme="minorHAnsi"/>
          <w:spacing w:val="6"/>
          <w:lang w:eastAsia="pt-BR"/>
        </w:rPr>
        <w:t>.</w:t>
      </w:r>
    </w:p>
    <w:p w14:paraId="17BD7B84" w14:textId="5DA8EDB7" w:rsidR="006A3FD5" w:rsidRDefault="006A3FD5" w:rsidP="006A3FD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6A3FD5">
        <w:rPr>
          <w:rFonts w:eastAsia="Times New Roman" w:cstheme="minorHAnsi"/>
          <w:spacing w:val="6"/>
          <w:lang w:eastAsia="pt-BR"/>
        </w:rPr>
        <w:t xml:space="preserve">Jacilene concluiu a reunião, indicando que as sugestões do comitê do SETURN e da GTI serão incorporadas ao </w:t>
      </w:r>
      <w:r>
        <w:rPr>
          <w:rFonts w:eastAsia="Times New Roman" w:cstheme="minorHAnsi"/>
          <w:spacing w:val="6"/>
          <w:lang w:eastAsia="pt-BR"/>
        </w:rPr>
        <w:t>“</w:t>
      </w:r>
      <w:r w:rsidRPr="006A3FD5">
        <w:rPr>
          <w:rFonts w:eastAsia="Times New Roman" w:cstheme="minorHAnsi"/>
          <w:spacing w:val="6"/>
          <w:lang w:eastAsia="pt-BR"/>
        </w:rPr>
        <w:t>plano final</w:t>
      </w:r>
      <w:r>
        <w:rPr>
          <w:rFonts w:eastAsia="Times New Roman" w:cstheme="minorHAnsi"/>
          <w:spacing w:val="6"/>
          <w:lang w:eastAsia="pt-BR"/>
        </w:rPr>
        <w:t>”</w:t>
      </w:r>
      <w:r w:rsidRPr="006A3FD5">
        <w:rPr>
          <w:rFonts w:eastAsia="Times New Roman" w:cstheme="minorHAnsi"/>
          <w:spacing w:val="6"/>
          <w:lang w:eastAsia="pt-BR"/>
        </w:rPr>
        <w:t>, que será apresentado e d</w:t>
      </w:r>
      <w:r>
        <w:rPr>
          <w:rFonts w:eastAsia="Times New Roman" w:cstheme="minorHAnsi"/>
          <w:spacing w:val="6"/>
          <w:lang w:eastAsia="pt-BR"/>
        </w:rPr>
        <w:t>ebatido</w:t>
      </w:r>
      <w:r w:rsidRPr="006A3FD5">
        <w:rPr>
          <w:rFonts w:eastAsia="Times New Roman" w:cstheme="minorHAnsi"/>
          <w:spacing w:val="6"/>
          <w:lang w:eastAsia="pt-BR"/>
        </w:rPr>
        <w:t xml:space="preserve"> nas reuniões posteriores, ela solicitou que a equipe envie sugestões para o plano de capacitação até terça-feira dia vinte e seis de novembro de dois mil e vinte quatro.</w:t>
      </w:r>
    </w:p>
    <w:p w14:paraId="3D22F9F0" w14:textId="6B5E5857" w:rsidR="00204402" w:rsidRDefault="0058399C" w:rsidP="006E374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</w:t>
      </w:r>
      <w:r w:rsidR="00301F0D">
        <w:rPr>
          <w:rFonts w:cstheme="minorHAnsi"/>
        </w:rPr>
        <w:t>ta do dia esgotada e como ninguém mais desejou falar, deu-se por encerrada a reunião, lavrando-se a presente ata.</w:t>
      </w:r>
      <w:bookmarkEnd w:id="3"/>
      <w:bookmarkEnd w:id="4"/>
    </w:p>
    <w:sectPr w:rsidR="00204402" w:rsidSect="004F5D3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2872" w14:textId="77777777" w:rsidR="0020375A" w:rsidRDefault="0020375A">
      <w:pPr>
        <w:spacing w:line="240" w:lineRule="auto"/>
      </w:pPr>
      <w:r>
        <w:separator/>
      </w:r>
    </w:p>
  </w:endnote>
  <w:endnote w:type="continuationSeparator" w:id="0">
    <w:p w14:paraId="7B63A6F0" w14:textId="77777777" w:rsidR="0020375A" w:rsidRDefault="00203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933A" w14:textId="77777777" w:rsidR="00204402" w:rsidRDefault="00204402">
    <w:pPr>
      <w:pStyle w:val="Rodap"/>
      <w:pBdr>
        <w:bottom w:val="single" w:sz="12" w:space="1" w:color="auto"/>
      </w:pBdr>
    </w:pPr>
  </w:p>
  <w:p w14:paraId="650DF31B" w14:textId="77777777" w:rsidR="00204402" w:rsidRDefault="00301F0D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6334473F" w14:textId="77777777" w:rsidR="00204402" w:rsidRDefault="002044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924A3" w14:textId="77777777" w:rsidR="0020375A" w:rsidRDefault="0020375A">
      <w:pPr>
        <w:spacing w:before="0" w:after="0"/>
      </w:pPr>
      <w:r>
        <w:separator/>
      </w:r>
    </w:p>
  </w:footnote>
  <w:footnote w:type="continuationSeparator" w:id="0">
    <w:p w14:paraId="6F25AC0C" w14:textId="77777777" w:rsidR="0020375A" w:rsidRDefault="00203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14:paraId="37D5F15A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2598DF61" w14:textId="77777777" w:rsidR="00204402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74BE4794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42CCF393" w14:textId="77777777" w:rsidR="00204402" w:rsidRDefault="00B66316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436941" w:rsidRPr="00436941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3</w:t>
            </w:r>
          </w:fldSimple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14:paraId="31D03756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1BE7B3BD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22E716CE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14:paraId="166298B5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5F891040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28413F71" w14:textId="77777777" w:rsidR="00204402" w:rsidRDefault="00301F0D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14:paraId="273A8957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BB3949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358315C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696A5B5B" w14:textId="27CB63FB" w:rsidR="00204402" w:rsidRDefault="006A3FD5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21 de novembro de 2024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14:paraId="1187C0FD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20035C57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3BFA3273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14:paraId="05A003B3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66BA9A5B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1FC074F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75ACEE9A" w14:textId="77777777" w:rsidR="00204402" w:rsidRDefault="00204402">
    <w:pPr>
      <w:pStyle w:val="Cabealho"/>
      <w:pBdr>
        <w:bottom w:val="single" w:sz="12" w:space="1" w:color="auto"/>
      </w:pBdr>
    </w:pPr>
  </w:p>
  <w:p w14:paraId="064A7685" w14:textId="77777777" w:rsidR="00204402" w:rsidRDefault="002044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2752"/>
    <w:rsid w:val="000055CE"/>
    <w:rsid w:val="00006303"/>
    <w:rsid w:val="00012DC7"/>
    <w:rsid w:val="00015C42"/>
    <w:rsid w:val="000245F1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7DDF"/>
    <w:rsid w:val="001E4400"/>
    <w:rsid w:val="001F4431"/>
    <w:rsid w:val="0020375A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36DA0"/>
    <w:rsid w:val="00541A4A"/>
    <w:rsid w:val="00542B8B"/>
    <w:rsid w:val="00560414"/>
    <w:rsid w:val="005670C7"/>
    <w:rsid w:val="00573F6F"/>
    <w:rsid w:val="00574482"/>
    <w:rsid w:val="0058399C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3FD5"/>
    <w:rsid w:val="006B1F5B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45AB"/>
    <w:rsid w:val="00715C7E"/>
    <w:rsid w:val="00723A5D"/>
    <w:rsid w:val="007365D8"/>
    <w:rsid w:val="0073798B"/>
    <w:rsid w:val="0074424A"/>
    <w:rsid w:val="007513CC"/>
    <w:rsid w:val="007563A3"/>
    <w:rsid w:val="007579F0"/>
    <w:rsid w:val="00760711"/>
    <w:rsid w:val="00760A79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3DD2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4235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3ECC"/>
    <w:rsid w:val="00BA19C5"/>
    <w:rsid w:val="00BA1A84"/>
    <w:rsid w:val="00BB77BE"/>
    <w:rsid w:val="00BD443E"/>
    <w:rsid w:val="00BD79AD"/>
    <w:rsid w:val="00BE28A5"/>
    <w:rsid w:val="00BE797A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2E58"/>
    <w:rsid w:val="00CB4602"/>
    <w:rsid w:val="00CB4784"/>
    <w:rsid w:val="00CC082C"/>
    <w:rsid w:val="00CC24FB"/>
    <w:rsid w:val="00CC40D2"/>
    <w:rsid w:val="00CC73DE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3632"/>
    <w:rsid w:val="00E64725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45B6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F5D3E"/>
  </w:style>
  <w:style w:type="character" w:customStyle="1" w:styleId="RodapChar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4F5D3E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4F5D3E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4F5D3E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F5D3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9F0739" w:rsidRDefault="005B6C99">
          <w:pPr>
            <w:pStyle w:val="D59C6BEA6FB74FF7912466F9F1E921FB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9F0739" w:rsidRDefault="005B6C99">
          <w:pPr>
            <w:pStyle w:val="3D30011071D5407097488584A58FC115"/>
          </w:pPr>
          <w:r>
            <w:rPr>
              <w:color w:val="156082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9F0739" w:rsidRDefault="005B6C99">
          <w:pPr>
            <w:pStyle w:val="5DEEDB2022A7406D9A2A4B7FF4DF804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9F0739" w:rsidRDefault="005B6C99">
          <w:pPr>
            <w:pStyle w:val="D0506E48B5B840A489D89A7762341842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9F0739" w:rsidRDefault="005B6C99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9F0739" w:rsidRDefault="005B6C99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9F0739" w:rsidRDefault="005B6C99">
          <w:pPr>
            <w:pStyle w:val="148DA4A94E524FD48EB1050EE3E83119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1342" w:rsidRDefault="009B1342">
      <w:pPr>
        <w:spacing w:line="240" w:lineRule="auto"/>
      </w:pPr>
      <w:r>
        <w:separator/>
      </w:r>
    </w:p>
  </w:endnote>
  <w:endnote w:type="continuationSeparator" w:id="0">
    <w:p w:rsidR="009B1342" w:rsidRDefault="009B134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1342" w:rsidRDefault="009B1342">
      <w:pPr>
        <w:spacing w:after="0"/>
      </w:pPr>
      <w:r>
        <w:separator/>
      </w:r>
    </w:p>
  </w:footnote>
  <w:footnote w:type="continuationSeparator" w:id="0">
    <w:p w:rsidR="009B1342" w:rsidRDefault="009B134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402B"/>
    <w:rsid w:val="00287A26"/>
    <w:rsid w:val="002946F3"/>
    <w:rsid w:val="002A5648"/>
    <w:rsid w:val="002B7B4B"/>
    <w:rsid w:val="002F61BC"/>
    <w:rsid w:val="00325698"/>
    <w:rsid w:val="003849D5"/>
    <w:rsid w:val="00395759"/>
    <w:rsid w:val="003A1206"/>
    <w:rsid w:val="003C40FF"/>
    <w:rsid w:val="003E241E"/>
    <w:rsid w:val="003E293D"/>
    <w:rsid w:val="00471759"/>
    <w:rsid w:val="00487A7D"/>
    <w:rsid w:val="004D02F8"/>
    <w:rsid w:val="00573EE4"/>
    <w:rsid w:val="005B4B1D"/>
    <w:rsid w:val="005B6C99"/>
    <w:rsid w:val="00681C51"/>
    <w:rsid w:val="006916D6"/>
    <w:rsid w:val="00694B75"/>
    <w:rsid w:val="00697056"/>
    <w:rsid w:val="006D215D"/>
    <w:rsid w:val="007365D8"/>
    <w:rsid w:val="00795880"/>
    <w:rsid w:val="007A33B5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64CD7"/>
    <w:rsid w:val="0097297B"/>
    <w:rsid w:val="009B1342"/>
    <w:rsid w:val="009B46A1"/>
    <w:rsid w:val="009B4AB0"/>
    <w:rsid w:val="009E2A3B"/>
    <w:rsid w:val="009F0739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40D2"/>
    <w:rsid w:val="00CC5290"/>
    <w:rsid w:val="00CF65B5"/>
    <w:rsid w:val="00D16C11"/>
    <w:rsid w:val="00D9479F"/>
    <w:rsid w:val="00DA05EE"/>
    <w:rsid w:val="00DB278F"/>
    <w:rsid w:val="00DC5541"/>
    <w:rsid w:val="00DC7189"/>
    <w:rsid w:val="00DD2EC6"/>
    <w:rsid w:val="00DD4B52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5AF7"/>
    <w:rsid w:val="00F31FAB"/>
    <w:rsid w:val="00F458EA"/>
    <w:rsid w:val="00F5194E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21 de novembro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820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SETURN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SETURN</dc:title>
  <dc:subject>Ata de Reunião</dc:subject>
  <dc:creator>Maria Elisangela Alexandre Moreira</dc:creator>
  <cp:lastModifiedBy>Jacilene Alcântara</cp:lastModifiedBy>
  <cp:revision>23</cp:revision>
  <cp:lastPrinted>2024-06-21T19:30:00Z</cp:lastPrinted>
  <dcterms:created xsi:type="dcterms:W3CDTF">2024-09-11T12:45:00Z</dcterms:created>
  <dcterms:modified xsi:type="dcterms:W3CDTF">2024-11-27T14:02:00Z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