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4996DC74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4996DC74" w14:paraId="5A7D776A" w14:textId="77777777">
            <w:tc>
              <w:tcPr>
                <w:tcW w:w="7672" w:type="dxa"/>
                <w:tcMar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:rsidTr="4996DC74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BFB7FAF" w:rsidTr="4996DC74" w14:paraId="4F1C0A83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23D707D8" w:rsidP="4996DC74" w:rsidRDefault="23D707D8" w14:paraId="48BBD6C3" w14:textId="1D65A6A1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4996DC74" w:rsidR="69869422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14 </w:t>
                </w:r>
                <w:r w:rsidRPr="4996DC74" w:rsidR="23D707D8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de março de </w:t>
                </w:r>
                <w:r w:rsidRPr="4996DC74" w:rsidR="77CD7F73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2025</w:t>
                </w:r>
              </w:p>
            </w:tc>
          </w:tr>
        </w:tbl>
        <w:p w:rsidR="00672E1C" w:rsidP="00AE3F78" w:rsidRDefault="0018645E" w14:paraId="554ACDFE" w14:textId="53115CC1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7271B9" wp14:editId="1481CFE6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092202137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6C7FD9F7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FD9D422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656E2074">
                  <v:shapetype id="_x0000_t202" coordsize="21600,21600" o:spt="202" path="m,l,21600r21600,l21600,xe" w14:anchorId="537271B9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2482559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18645E" w14:paraId="31CD66B6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="00632940" w:rsidP="5BFB7FAF" w:rsidRDefault="00632940" w14:paraId="77BEB3E1" w14:textId="77393A9D">
      <w:pPr>
        <w:jc w:val="both"/>
        <w:rPr>
          <w:rFonts w:cs="Calibri" w:cstheme="minorAscii"/>
          <w:sz w:val="22"/>
          <w:szCs w:val="22"/>
        </w:rPr>
      </w:pPr>
      <w:r w:rsidRPr="5BFB7FAF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5BFB7FAF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18645E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632940" w:rsidR="0082754B" w:rsidP="5BFB7FAF" w:rsidRDefault="00011FA6" w14:paraId="441623EB" w14:textId="743406D4">
      <w:pPr>
        <w:jc w:val="both"/>
        <w:rPr>
          <w:rFonts w:cs="Calibri" w:cstheme="minorAscii"/>
          <w:b w:val="0"/>
          <w:bCs w:val="0"/>
        </w:rPr>
      </w:pPr>
      <w:r w:rsidRPr="435775E9" w:rsidR="0071445E">
        <w:rPr>
          <w:rFonts w:cs="Calibri" w:cstheme="minorAscii"/>
          <w:b w:val="1"/>
          <w:bCs w:val="1"/>
        </w:rPr>
        <w:t xml:space="preserve">Presentes: </w:t>
      </w:r>
      <w:r w:rsidRPr="435775E9" w:rsidR="7D40BC54">
        <w:rPr>
          <w:rFonts w:cs="Calibri" w:cstheme="minorAscii"/>
          <w:b w:val="0"/>
          <w:bCs w:val="0"/>
        </w:rPr>
        <w:t>Romênia Cavalcante, Letícia Starling</w:t>
      </w:r>
      <w:r w:rsidRPr="435775E9" w:rsidR="1963B31B">
        <w:rPr>
          <w:rFonts w:cs="Calibri" w:cstheme="minorAscii"/>
          <w:b w:val="0"/>
          <w:bCs w:val="0"/>
        </w:rPr>
        <w:t>,</w:t>
      </w:r>
      <w:r w:rsidRPr="435775E9" w:rsidR="7D40BC54">
        <w:rPr>
          <w:rFonts w:cs="Calibri" w:cstheme="minorAscii"/>
          <w:b w:val="0"/>
          <w:bCs w:val="0"/>
        </w:rPr>
        <w:t xml:space="preserve"> Sylvester </w:t>
      </w:r>
      <w:r w:rsidRPr="435775E9" w:rsidR="7D40BC54">
        <w:rPr>
          <w:rFonts w:cs="Calibri" w:cstheme="minorAscii"/>
          <w:b w:val="0"/>
          <w:bCs w:val="0"/>
        </w:rPr>
        <w:t>Medeiros</w:t>
      </w:r>
      <w:r w:rsidRPr="435775E9" w:rsidR="45812217">
        <w:rPr>
          <w:rFonts w:cs="Calibri" w:cstheme="minorAscii"/>
          <w:b w:val="0"/>
          <w:bCs w:val="0"/>
        </w:rPr>
        <w:t>,</w:t>
      </w:r>
      <w:r w:rsidRPr="435775E9" w:rsidR="5A4B51EC">
        <w:rPr>
          <w:rFonts w:cs="Calibri" w:cstheme="minorAscii"/>
          <w:b w:val="0"/>
          <w:bCs w:val="0"/>
        </w:rPr>
        <w:t xml:space="preserve"> G</w:t>
      </w:r>
      <w:r w:rsidRPr="435775E9" w:rsidR="7CADC106">
        <w:rPr>
          <w:rFonts w:cs="Calibri" w:cstheme="minorAscii"/>
          <w:b w:val="0"/>
          <w:bCs w:val="0"/>
        </w:rPr>
        <w:t>éssica</w:t>
      </w:r>
      <w:r w:rsidRPr="435775E9" w:rsidR="45812217">
        <w:rPr>
          <w:rFonts w:cs="Calibri" w:cstheme="minorAscii"/>
          <w:b w:val="0"/>
          <w:bCs w:val="0"/>
        </w:rPr>
        <w:t xml:space="preserve">, </w:t>
      </w:r>
      <w:r w:rsidRPr="435775E9" w:rsidR="74B5EF80">
        <w:rPr>
          <w:rFonts w:cs="Calibri" w:cstheme="minorAscii"/>
          <w:b w:val="0"/>
          <w:bCs w:val="0"/>
        </w:rPr>
        <w:t>Felipe</w:t>
      </w:r>
      <w:r w:rsidRPr="435775E9" w:rsidR="45812217">
        <w:rPr>
          <w:rFonts w:cs="Calibri" w:cstheme="minorAscii"/>
          <w:b w:val="0"/>
          <w:bCs w:val="0"/>
        </w:rPr>
        <w:t xml:space="preserve">, </w:t>
      </w:r>
      <w:r w:rsidRPr="435775E9" w:rsidR="0BB8CBF9">
        <w:rPr>
          <w:rFonts w:cs="Calibri" w:cstheme="minorAscii"/>
          <w:b w:val="0"/>
          <w:bCs w:val="0"/>
        </w:rPr>
        <w:t>Josué</w:t>
      </w:r>
      <w:r w:rsidRPr="435775E9" w:rsidR="45812217">
        <w:rPr>
          <w:rFonts w:cs="Calibri" w:cstheme="minorAscii"/>
          <w:b w:val="0"/>
          <w:bCs w:val="0"/>
        </w:rPr>
        <w:t xml:space="preserve"> e Inacio.</w:t>
      </w:r>
    </w:p>
    <w:p w:rsidRPr="00632940" w:rsidR="0082754B" w:rsidP="5BFB7FAF" w:rsidRDefault="00011FA6" w14:paraId="5E2119DD" w14:textId="5BD1179D">
      <w:pPr>
        <w:jc w:val="both"/>
        <w:rPr>
          <w:rFonts w:cs="Calibri" w:cstheme="minorAscii"/>
        </w:rPr>
      </w:pPr>
      <w:r w:rsidRPr="4996DC74" w:rsidR="2329FFC9">
        <w:rPr>
          <w:rFonts w:cs="Calibri" w:cstheme="minorAscii"/>
        </w:rPr>
        <w:t>P</w:t>
      </w:r>
      <w:r w:rsidRPr="4996DC74" w:rsidR="0049629E">
        <w:rPr>
          <w:rFonts w:cs="Calibri" w:cstheme="minorAscii"/>
        </w:rPr>
        <w:t>auta</w:t>
      </w:r>
      <w:r w:rsidRPr="4996DC74" w:rsidR="00BF3C6E">
        <w:rPr>
          <w:rFonts w:cs="Calibri" w:cstheme="minorAscii"/>
        </w:rPr>
        <w:t xml:space="preserve"> do dia:</w:t>
      </w:r>
    </w:p>
    <w:p w:rsidR="499191AF" w:rsidP="4996DC74" w:rsidRDefault="499191AF" w14:paraId="265957C6" w14:textId="39436C24">
      <w:pPr>
        <w:pStyle w:val="PargrafodaLista"/>
        <w:numPr>
          <w:ilvl w:val="0"/>
          <w:numId w:val="33"/>
        </w:numPr>
        <w:jc w:val="both"/>
        <w:rPr>
          <w:noProof w:val="0"/>
          <w:lang w:val="pt-BR"/>
        </w:rPr>
      </w:pPr>
      <w:r w:rsidRPr="4996DC74" w:rsidR="499191AF">
        <w:rPr>
          <w:noProof w:val="0"/>
          <w:lang w:val="pt-BR"/>
        </w:rPr>
        <w:t>Cronograma LGPD. Atualizações do cronograma e novas pautas.</w:t>
      </w:r>
    </w:p>
    <w:p w:rsidRPr="00632940" w:rsidR="006E3AE6" w:rsidP="006E3AE6" w:rsidRDefault="00FF3C49" w14:paraId="4E539BC9" w14:textId="093FDB21">
      <w:pPr>
        <w:pStyle w:val="Ttulo2"/>
      </w:pPr>
      <w:r>
        <w:t>Reunião semanal</w:t>
      </w:r>
      <w:r w:rsidR="005F6320">
        <w:t xml:space="preserve"> </w:t>
      </w:r>
      <w:r>
        <w:t>LGPD</w:t>
      </w:r>
    </w:p>
    <w:p w:rsidR="00521B64" w:rsidP="4996DC74" w:rsidRDefault="00521B64" w14:paraId="3C9ED210" w14:textId="44CFFEFE">
      <w:pPr>
        <w:pStyle w:val="PargrafodaLista"/>
        <w:numPr>
          <w:ilvl w:val="0"/>
          <w:numId w:val="35"/>
        </w:numPr>
        <w:ind/>
        <w:jc w:val="both"/>
        <w:rPr>
          <w:noProof w:val="0"/>
          <w:lang w:val="pt-BR"/>
        </w:rPr>
      </w:pPr>
      <w:r w:rsidRPr="435775E9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 reunião foi iniciada por Romênia, que apresentou as atualizações realizadas pela GTI. Ela explicou que a revisão dos processos de negócios, focada na aná</w:t>
      </w:r>
      <w:r w:rsidRPr="435775E9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lise de </w:t>
      </w:r>
      <w:r w:rsidRPr="435775E9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riscos, começou pelo setor comercial. Esse trabalho foi baseado no levantamento dos processos mapeados entre junho e julho de 2024. Além disso, houve o compartilhamento de informações do </w:t>
      </w:r>
      <w:r w:rsidRPr="435775E9" w:rsidR="1BE91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sistema O</w:t>
      </w:r>
      <w:r w:rsidRPr="435775E9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mnisblue</w:t>
      </w:r>
      <w:r w:rsidRPr="435775E9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para revisão e atualização dos dados. </w:t>
      </w:r>
    </w:p>
    <w:p w:rsidR="00521B64" w:rsidP="4996DC74" w:rsidRDefault="00521B64" w14:paraId="764A5A55" w14:textId="6B5DD58B">
      <w:pPr>
        <w:pStyle w:val="PargrafodaLista"/>
        <w:numPr>
          <w:ilvl w:val="0"/>
          <w:numId w:val="35"/>
        </w:numPr>
        <w:ind/>
        <w:jc w:val="both"/>
        <w:rPr>
          <w:noProof w:val="0"/>
          <w:lang w:val="pt-BR"/>
        </w:rPr>
      </w:pPr>
      <w:r w:rsidRPr="4996DC74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Para auxiliar nesse processo, foram realizadas duas</w:t>
      </w:r>
      <w:r w:rsidRPr="4996DC74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reuniões</w:t>
      </w:r>
      <w:r w:rsidRPr="4996DC74" w:rsidR="3BDB67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, em que as equipes receberam suporte no preenchimento das informações solicitadas.</w:t>
      </w:r>
    </w:p>
    <w:p w:rsidR="00521B64" w:rsidP="4996DC74" w:rsidRDefault="00521B64" w14:paraId="788C4695" w14:textId="061C1518">
      <w:pPr>
        <w:pStyle w:val="PargrafodaLista"/>
        <w:numPr>
          <w:ilvl w:val="0"/>
          <w:numId w:val="35"/>
        </w:numPr>
        <w:ind/>
        <w:jc w:val="both"/>
        <w:rPr>
          <w:rFonts w:cs="Calibri" w:cstheme="minorAscii"/>
        </w:rPr>
      </w:pPr>
      <w:r w:rsidRPr="4996DC74" w:rsidR="3BDB67AC">
        <w:rPr>
          <w:rFonts w:cs="Calibri" w:cstheme="minorAscii"/>
        </w:rPr>
        <w:t xml:space="preserve">Romênia informou que na próxima sexta-feira, dia 21/03/2025, será realizada a reunião com os times de RH e Financeiro para orientá-los sobre a forma correta de preencher os dados solicitados, seguindo o mesmo modelo adotado com o time comercial.   </w:t>
      </w:r>
    </w:p>
    <w:p w:rsidR="3BDB67AC" w:rsidP="4996DC74" w:rsidRDefault="3BDB67AC" w14:paraId="005CE3B2" w14:textId="5A044EA1">
      <w:pPr>
        <w:pStyle w:val="PargrafodaLista"/>
        <w:numPr>
          <w:ilvl w:val="0"/>
          <w:numId w:val="35"/>
        </w:numPr>
        <w:jc w:val="both"/>
        <w:rPr>
          <w:rFonts w:cs="Calibri" w:cstheme="minorAscii"/>
        </w:rPr>
      </w:pPr>
      <w:r w:rsidRPr="4996DC74" w:rsidR="3BDB67AC">
        <w:rPr>
          <w:rFonts w:cs="Calibri" w:cstheme="minorAscii"/>
        </w:rPr>
        <w:t xml:space="preserve">Romênia pediu para que </w:t>
      </w:r>
      <w:r w:rsidRPr="4996DC74" w:rsidR="481E81E4">
        <w:rPr>
          <w:rFonts w:cs="Calibri" w:cstheme="minorAscii"/>
        </w:rPr>
        <w:t xml:space="preserve">Sylvester Medeiros </w:t>
      </w:r>
      <w:r w:rsidRPr="4996DC74" w:rsidR="3BDB67AC">
        <w:rPr>
          <w:rFonts w:cs="Calibri" w:cstheme="minorAscii"/>
        </w:rPr>
        <w:t>falasse para a equipe como foi realizar a tarefa.</w:t>
      </w:r>
    </w:p>
    <w:p w:rsidR="2F621033" w:rsidP="4996DC74" w:rsidRDefault="2F621033" w14:paraId="568F7172" w14:textId="768D250B">
      <w:pPr>
        <w:pStyle w:val="PargrafodaLista"/>
        <w:numPr>
          <w:ilvl w:val="0"/>
          <w:numId w:val="35"/>
        </w:numPr>
        <w:jc w:val="both"/>
        <w:rPr>
          <w:rFonts w:cs="Calibri" w:cstheme="minorAscii"/>
        </w:rPr>
      </w:pPr>
      <w:r w:rsidRPr="4996DC74" w:rsidR="2F621033">
        <w:rPr>
          <w:rFonts w:cs="Calibri" w:cstheme="minorAscii"/>
        </w:rPr>
        <w:t>Sylvester comentou sobre o preenchimento das informações e disse que, após a última reunião, conseguiu ter um norte para realizar a tarefa. No início, achou o processo complicado, mas com a explicação de Romênia, conseguiu entender melhor e seguir com mais tranquilidade.</w:t>
      </w:r>
    </w:p>
    <w:p w:rsidR="6F94B9DC" w:rsidP="4996DC74" w:rsidRDefault="6F94B9DC" w14:paraId="490030F9" w14:textId="06D39DB2">
      <w:pPr>
        <w:pStyle w:val="PargrafodaLista"/>
        <w:numPr>
          <w:ilvl w:val="0"/>
          <w:numId w:val="35"/>
        </w:numPr>
        <w:jc w:val="both"/>
        <w:rPr>
          <w:rFonts w:cs="Calibri" w:cstheme="minorAscii"/>
        </w:rPr>
      </w:pPr>
      <w:r w:rsidRPr="4996DC74" w:rsidR="6F94B9DC">
        <w:rPr>
          <w:rFonts w:cs="Calibri" w:cstheme="minorAscii"/>
        </w:rPr>
        <w:t xml:space="preserve">Romênia informou que o segundo tópico do cronograma foi realizado por </w:t>
      </w:r>
      <w:r w:rsidRPr="4996DC74" w:rsidR="6F94B9DC">
        <w:rPr>
          <w:rFonts w:cs="Calibri" w:cstheme="minorAscii"/>
        </w:rPr>
        <w:t>Jacilene</w:t>
      </w:r>
      <w:r w:rsidRPr="4996DC74" w:rsidR="6F94B9DC">
        <w:rPr>
          <w:rFonts w:cs="Calibri" w:cstheme="minorAscii"/>
        </w:rPr>
        <w:t xml:space="preserve"> na semana passada.</w:t>
      </w:r>
    </w:p>
    <w:p w:rsidR="6F94B9DC" w:rsidP="4996DC74" w:rsidRDefault="6F94B9DC" w14:paraId="42D3DEDB" w14:textId="258C742D">
      <w:pPr>
        <w:pStyle w:val="PargrafodaLista"/>
        <w:numPr>
          <w:ilvl w:val="0"/>
          <w:numId w:val="35"/>
        </w:numPr>
        <w:jc w:val="both"/>
        <w:rPr>
          <w:rFonts w:cs="Calibri" w:cstheme="minorAscii"/>
        </w:rPr>
      </w:pPr>
      <w:r w:rsidRPr="4996DC74" w:rsidR="6F94B9DC">
        <w:rPr>
          <w:rFonts w:cs="Calibri" w:cstheme="minorAscii"/>
        </w:rPr>
        <w:t xml:space="preserve">Foi pontuado que as datas do cronograma não estão sendo seguidas à risca devido ao desenvolvimento da plataforma de ensino e treinamento dos sindicatos, o que tem impactado os prazos. </w:t>
      </w:r>
    </w:p>
    <w:p w:rsidR="6F94B9DC" w:rsidP="4996DC74" w:rsidRDefault="6F94B9DC" w14:paraId="5D8968D8" w14:textId="2708D43B">
      <w:pPr>
        <w:pStyle w:val="PargrafodaLista"/>
        <w:numPr>
          <w:ilvl w:val="0"/>
          <w:numId w:val="35"/>
        </w:numPr>
        <w:spacing w:before="240" w:beforeAutospacing="off" w:after="240" w:afterAutospacing="off"/>
        <w:rPr>
          <w:noProof w:val="0"/>
          <w:lang w:val="pt-BR"/>
        </w:rPr>
      </w:pPr>
      <w:r w:rsidRPr="4996DC74" w:rsidR="6F94B9DC">
        <w:rPr>
          <w:noProof w:val="0"/>
          <w:lang w:val="pt-BR"/>
        </w:rPr>
        <w:t xml:space="preserve">Romênia perguntou se houve alguma atualização ou dúvida ao longo da semana, </w:t>
      </w:r>
      <w:r w:rsidRPr="4996DC74" w:rsidR="4D80D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Jessica informou sobre </w:t>
      </w:r>
      <w:r w:rsidRPr="4996DC74" w:rsidR="316AE7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 </w:t>
      </w:r>
      <w:r w:rsidRPr="4996DC74" w:rsidR="316AE7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dúvida que</w:t>
      </w:r>
      <w:r w:rsidRPr="4996DC74" w:rsidR="3D6F3C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surgiu referente ao</w:t>
      </w:r>
      <w:r w:rsidRPr="4996DC74" w:rsidR="4D80D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contrato que enviou via </w:t>
      </w:r>
      <w:r w:rsidRPr="4996DC74" w:rsidR="4D80D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e-mail, sem mais.</w:t>
      </w:r>
    </w:p>
    <w:p w:rsidR="6F94B9DC" w:rsidP="4996DC74" w:rsidRDefault="6F94B9DC" w14:paraId="35EE0096" w14:textId="4AEE8EF3">
      <w:pPr>
        <w:pStyle w:val="PargrafodaLista"/>
        <w:numPr>
          <w:ilvl w:val="0"/>
          <w:numId w:val="35"/>
        </w:numPr>
        <w:spacing w:before="240" w:beforeAutospacing="off" w:after="240" w:afterAutospacing="off"/>
        <w:rPr>
          <w:noProof w:val="0"/>
          <w:lang w:val="pt-BR"/>
        </w:rPr>
      </w:pPr>
      <w:r w:rsidRPr="4996DC74" w:rsidR="6F94B9DC">
        <w:rPr>
          <w:noProof w:val="0"/>
          <w:lang w:val="pt-BR"/>
        </w:rPr>
        <w:t>A</w:t>
      </w:r>
      <w:r w:rsidRPr="4996DC74" w:rsidR="40E55C32">
        <w:rPr>
          <w:noProof w:val="0"/>
          <w:lang w:val="pt-BR"/>
        </w:rPr>
        <w:t xml:space="preserve"> </w:t>
      </w:r>
      <w:r w:rsidRPr="4996DC74" w:rsidR="3FAEDB2C">
        <w:rPr>
          <w:noProof w:val="0"/>
          <w:lang w:val="pt-BR"/>
        </w:rPr>
        <w:t>próxima</w:t>
      </w:r>
      <w:r w:rsidRPr="4996DC74" w:rsidR="6F94B9DC">
        <w:rPr>
          <w:noProof w:val="0"/>
          <w:lang w:val="pt-BR"/>
        </w:rPr>
        <w:t xml:space="preserve"> reunião foi definida para o dia 21 de março de 2025, com </w:t>
      </w:r>
      <w:r w:rsidRPr="4996DC74" w:rsidR="7930B5C2">
        <w:rPr>
          <w:noProof w:val="0"/>
          <w:lang w:val="pt-BR"/>
        </w:rPr>
        <w:t>Jéssica e Felipe</w:t>
      </w:r>
      <w:r w:rsidRPr="4996DC74" w:rsidR="6F94B9DC">
        <w:rPr>
          <w:noProof w:val="0"/>
          <w:lang w:val="pt-BR"/>
        </w:rPr>
        <w:t xml:space="preserve">. </w:t>
      </w:r>
    </w:p>
    <w:p w:rsidR="6F94B9DC" w:rsidP="4996DC74" w:rsidRDefault="6F94B9DC" w14:paraId="1C4ED882" w14:textId="24FEA98B">
      <w:pPr>
        <w:pStyle w:val="PargrafodaLista"/>
        <w:numPr>
          <w:ilvl w:val="0"/>
          <w:numId w:val="35"/>
        </w:numPr>
        <w:spacing w:before="240" w:beforeAutospacing="off" w:after="240" w:afterAutospacing="off"/>
        <w:rPr>
          <w:noProof w:val="0"/>
          <w:lang w:val="pt-BR"/>
        </w:rPr>
      </w:pPr>
      <w:r w:rsidRPr="4996DC74" w:rsidR="6F94B9DC">
        <w:rPr>
          <w:noProof w:val="0"/>
          <w:lang w:val="pt-BR"/>
        </w:rPr>
        <w:t xml:space="preserve"> </w:t>
      </w:r>
      <w:r w:rsidRPr="4996DC74" w:rsidR="6F94B9DC">
        <w:rPr>
          <w:noProof w:val="0"/>
          <w:lang w:val="pt-BR"/>
        </w:rPr>
        <w:t>Com a pauta do dia esgotada e como ninguém mais desejou falar, deu-se por encerrada a reunião, lavrando-se a presente ata.</w:t>
      </w:r>
    </w:p>
    <w:sectPr w:rsidRPr="00E11C9D" w:rsidR="000F6743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7A" w:rsidP="006221D3" w:rsidRDefault="00E77E7A" w14:paraId="7A9BFE7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77E7A" w:rsidP="006221D3" w:rsidRDefault="00E77E7A" w14:paraId="04DC252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71682814" w14:textId="77777777">
      <w:trPr>
        <w:trHeight w:val="300"/>
      </w:trPr>
      <w:tc>
        <w:tcPr>
          <w:tcW w:w="3005" w:type="dxa"/>
        </w:tcPr>
        <w:p w:rsidR="005FED36" w:rsidP="005FED36" w:rsidRDefault="005FED36" w14:paraId="78BCCC32" w14:textId="7CFEB4EA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8A6C712" w14:textId="4A8EF17F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08CA7CB5" w14:textId="12169806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F510899" w14:textId="05584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7A" w:rsidP="006221D3" w:rsidRDefault="00E77E7A" w14:paraId="74C5896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77E7A" w:rsidP="006221D3" w:rsidRDefault="00E77E7A" w14:paraId="671421D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4996DC74" w14:paraId="130D6E2C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18645E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4996DC74" w14:paraId="79DAE48D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BFB7FAF" w:rsidTr="4996DC74" w14:paraId="036DDFF1">
      <w:trPr>
        <w:trHeight w:val="300"/>
      </w:trPr>
      <w:tc>
        <w:tcPr>
          <w:tcW w:w="2268" w:type="dxa"/>
          <w:vMerge/>
          <w:tcMar/>
        </w:tcPr>
        <w:p w14:paraId="18418D98"/>
      </w:tc>
      <w:tc>
        <w:tcPr>
          <w:tcW w:w="5669" w:type="dxa"/>
          <w:vMerge/>
          <w:noWrap/>
          <w:tcMar/>
          <w:hideMark/>
        </w:tcPr>
        <w:p w14:paraId="64EBB676"/>
      </w:tc>
      <w:tc>
        <w:tcPr>
          <w:tcW w:w="994" w:type="dxa"/>
          <w:noWrap/>
          <w:tcMar/>
          <w:hideMark/>
        </w:tcPr>
        <w:p w:rsidR="5BFB7FAF" w:rsidP="5BFB7FAF" w:rsidRDefault="5BFB7FAF" w14:paraId="2A5523D1" w14:textId="44AA7701">
          <w:pPr>
            <w:pStyle w:val="Normal"/>
            <w:suppressLineNumbers w:val="0"/>
            <w:bidi w:val="0"/>
            <w:spacing w:before="100" w:beforeAutospacing="off" w:after="0" w:afterAutospacing="off" w:line="240" w:lineRule="auto"/>
            <w:ind w:left="0" w:right="0"/>
            <w:jc w:val="left"/>
          </w:pPr>
          <w:r w:rsidRPr="5BFB7FAF" w:rsidR="5BFB7FAF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Data </w:t>
          </w:r>
        </w:p>
      </w:tc>
      <w:tc>
        <w:tcPr>
          <w:tcW w:w="1417" w:type="dxa"/>
          <w:noWrap/>
          <w:tcMar/>
          <w:hideMark/>
        </w:tcPr>
        <w:p w:rsidR="5BFB7FAF" w:rsidP="5BFB7FAF" w:rsidRDefault="5BFB7FAF" w14:paraId="47BA9EFB" w14:textId="62A8FCA6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4996DC74" w:rsidR="4996DC7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14 </w:t>
          </w:r>
          <w:r w:rsidRPr="4996DC74" w:rsidR="4996DC7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de </w:t>
          </w:r>
          <w:r w:rsidRPr="4996DC74" w:rsidR="4996DC74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março 2025</w:t>
          </w:r>
        </w:p>
      </w:tc>
    </w:tr>
    <w:tr w:rsidRPr="006221D3" w:rsidR="005A6B26" w:rsidTr="4996DC74" w14:paraId="2FCDA53D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BFB7FAF" w:rsidRDefault="5BFB7FAF" w14:paraId="236ADF24" w14:textId="10DF0EC0"/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2C259AF1" w14:textId="77777777">
      <w:trPr>
        <w:trHeight w:val="300"/>
      </w:trPr>
      <w:tc>
        <w:tcPr>
          <w:tcW w:w="3005" w:type="dxa"/>
        </w:tcPr>
        <w:p w:rsidR="005FED36" w:rsidP="005FED36" w:rsidRDefault="005FED36" w14:paraId="111DBB1B" w14:textId="79EF5089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22D1CF8" w14:textId="4C94B493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1215D5F0" w14:textId="7C0CA88E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B73B646" w14:textId="6BC81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21ddc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6e8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a1da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8d80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e3e5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6cf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36CE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8645E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0A47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97481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75659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EA8F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5FED36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0B6E"/>
    <w:rsid w:val="00723A5D"/>
    <w:rsid w:val="00726604"/>
    <w:rsid w:val="007365D8"/>
    <w:rsid w:val="0074424A"/>
    <w:rsid w:val="00746EEC"/>
    <w:rsid w:val="007513CC"/>
    <w:rsid w:val="007563A3"/>
    <w:rsid w:val="007579F0"/>
    <w:rsid w:val="00757F61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CFE7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77E7A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  <w:rsid w:val="02A0C8EF"/>
    <w:rsid w:val="05D71E19"/>
    <w:rsid w:val="05EF3219"/>
    <w:rsid w:val="08042223"/>
    <w:rsid w:val="081FFF9F"/>
    <w:rsid w:val="0BB8CBF9"/>
    <w:rsid w:val="0C09B062"/>
    <w:rsid w:val="0DF8F92F"/>
    <w:rsid w:val="115EA327"/>
    <w:rsid w:val="1185BD4E"/>
    <w:rsid w:val="13A5C61A"/>
    <w:rsid w:val="15EEBA45"/>
    <w:rsid w:val="168FD7E9"/>
    <w:rsid w:val="1963B31B"/>
    <w:rsid w:val="1BE91393"/>
    <w:rsid w:val="1E3F4D09"/>
    <w:rsid w:val="210C75F3"/>
    <w:rsid w:val="213E0286"/>
    <w:rsid w:val="2329FFC9"/>
    <w:rsid w:val="23774DCE"/>
    <w:rsid w:val="23D707D8"/>
    <w:rsid w:val="24D77DEE"/>
    <w:rsid w:val="253A4466"/>
    <w:rsid w:val="261A4DE7"/>
    <w:rsid w:val="27901213"/>
    <w:rsid w:val="2D7434E3"/>
    <w:rsid w:val="2EAE2697"/>
    <w:rsid w:val="2EED76CA"/>
    <w:rsid w:val="2F4DE4FE"/>
    <w:rsid w:val="2F621033"/>
    <w:rsid w:val="2FEACCC9"/>
    <w:rsid w:val="316AE77A"/>
    <w:rsid w:val="33DC8049"/>
    <w:rsid w:val="34568196"/>
    <w:rsid w:val="3538335A"/>
    <w:rsid w:val="35FFB550"/>
    <w:rsid w:val="36BCDF8B"/>
    <w:rsid w:val="3AFAE0B8"/>
    <w:rsid w:val="3BDB67AC"/>
    <w:rsid w:val="3C130F4D"/>
    <w:rsid w:val="3D6F3CC5"/>
    <w:rsid w:val="3EAE662A"/>
    <w:rsid w:val="3FAEDB2C"/>
    <w:rsid w:val="406939F9"/>
    <w:rsid w:val="40D61318"/>
    <w:rsid w:val="40E55C32"/>
    <w:rsid w:val="40F07931"/>
    <w:rsid w:val="427DDC6E"/>
    <w:rsid w:val="42A46B3B"/>
    <w:rsid w:val="435775E9"/>
    <w:rsid w:val="4380173B"/>
    <w:rsid w:val="44435D00"/>
    <w:rsid w:val="45812217"/>
    <w:rsid w:val="4694D873"/>
    <w:rsid w:val="481E81E4"/>
    <w:rsid w:val="499191AF"/>
    <w:rsid w:val="4996DC74"/>
    <w:rsid w:val="49D72006"/>
    <w:rsid w:val="4AB15C22"/>
    <w:rsid w:val="4AB229D9"/>
    <w:rsid w:val="4D80DE61"/>
    <w:rsid w:val="53630DF3"/>
    <w:rsid w:val="5473C6BE"/>
    <w:rsid w:val="5486FCCD"/>
    <w:rsid w:val="552456D4"/>
    <w:rsid w:val="554645DC"/>
    <w:rsid w:val="57469ED3"/>
    <w:rsid w:val="59216C43"/>
    <w:rsid w:val="59447693"/>
    <w:rsid w:val="5A4B51EC"/>
    <w:rsid w:val="5BFB7FAF"/>
    <w:rsid w:val="5DFC3C20"/>
    <w:rsid w:val="6046E997"/>
    <w:rsid w:val="637A7A94"/>
    <w:rsid w:val="639A85BF"/>
    <w:rsid w:val="65B8E836"/>
    <w:rsid w:val="68055721"/>
    <w:rsid w:val="6846B205"/>
    <w:rsid w:val="69869422"/>
    <w:rsid w:val="6A1A1F11"/>
    <w:rsid w:val="6A2E8955"/>
    <w:rsid w:val="6A4D19B8"/>
    <w:rsid w:val="6CB3037D"/>
    <w:rsid w:val="6F94B9DC"/>
    <w:rsid w:val="6FF295CD"/>
    <w:rsid w:val="7447117B"/>
    <w:rsid w:val="74B5EF80"/>
    <w:rsid w:val="75EC0A85"/>
    <w:rsid w:val="767AB4D5"/>
    <w:rsid w:val="77CD7F73"/>
    <w:rsid w:val="7879B2D0"/>
    <w:rsid w:val="7930B5C2"/>
    <w:rsid w:val="7CADC106"/>
    <w:rsid w:val="7CC07B12"/>
    <w:rsid w:val="7D40BC54"/>
    <w:rsid w:val="7DB0DA07"/>
    <w:rsid w:val="7F453A2B"/>
    <w:rsid w:val="7FABFF10"/>
    <w:rsid w:val="7FD0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385E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7565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771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Romênia  Cavalcante</lastModifiedBy>
  <revision>79</revision>
  <lastPrinted>2024-06-21T19:30:00.0000000Z</lastPrinted>
  <dcterms:created xsi:type="dcterms:W3CDTF">2025-03-10T11:52:00.0000000Z</dcterms:created>
  <dcterms:modified xsi:type="dcterms:W3CDTF">2025-03-14T16:43:45.4362017Z</dcterms:modified>
  <category>Acesso Restrito</category>
</coreProperties>
</file>